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7823A37">
      <w:r>
        <w:drawing>
          <wp:inline distT="0" distB="0" distL="0" distR="0">
            <wp:extent cx="5943600" cy="15176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517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A001B5B">
      <w:pPr>
        <w:rPr>
          <w:sz w:val="24"/>
          <w:szCs w:val="24"/>
          <w:lang w:val="en-US"/>
        </w:rPr>
      </w:pPr>
      <w:r>
        <w:rPr>
          <w:sz w:val="24"/>
          <w:szCs w:val="24"/>
        </w:rPr>
        <w:t xml:space="preserve">Patient Name: </w:t>
      </w:r>
      <w:r>
        <w:rPr>
          <w:sz w:val="24"/>
          <w:szCs w:val="24"/>
          <w:lang w:val="en-US"/>
        </w:rPr>
        <w:t>Debbie Cootauco</w:t>
      </w:r>
    </w:p>
    <w:p w14:paraId="712667EB">
      <w:pPr>
        <w:rPr>
          <w:sz w:val="24"/>
          <w:szCs w:val="24"/>
        </w:rPr>
      </w:pPr>
    </w:p>
    <w:p w14:paraId="696D97EE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Non-surgical Root Planing (NSRP)</w:t>
      </w:r>
      <w:r>
        <w:rPr>
          <w:sz w:val="24"/>
          <w:szCs w:val="24"/>
        </w:rPr>
        <w:t xml:space="preserve"> Estimated Cost</w:t>
      </w:r>
      <w:r>
        <w:rPr>
          <w:sz w:val="24"/>
          <w:szCs w:val="24"/>
          <w:lang w:val="en-US"/>
        </w:rPr>
        <w:t>:</w:t>
      </w:r>
    </w:p>
    <w:p w14:paraId="2C6A8584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NSRP - 5,000 per quadrant x 4 = </w:t>
      </w:r>
      <w:r>
        <w:rPr>
          <w:color w:val="FF0000"/>
          <w:sz w:val="24"/>
          <w:szCs w:val="24"/>
          <w:lang w:val="en-US"/>
        </w:rPr>
        <w:t>20,000</w:t>
      </w:r>
    </w:p>
    <w:p w14:paraId="0D90DCB1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Aqueous Ozone = </w:t>
      </w:r>
      <w:r>
        <w:rPr>
          <w:color w:val="FF0000"/>
          <w:sz w:val="24"/>
          <w:szCs w:val="24"/>
          <w:lang w:val="en-US"/>
        </w:rPr>
        <w:t xml:space="preserve">1,000 </w:t>
      </w:r>
    </w:p>
    <w:p w14:paraId="096F2D93">
      <w:pPr>
        <w:rPr>
          <w:sz w:val="24"/>
          <w:szCs w:val="24"/>
        </w:rPr>
      </w:pPr>
    </w:p>
    <w:p w14:paraId="09340785">
      <w:pPr>
        <w:pStyle w:val="2"/>
      </w:pPr>
      <w:r>
        <w:t>Estimated Treatment Plan</w:t>
      </w:r>
    </w:p>
    <w:tbl>
      <w:tblPr>
        <w:tblStyle w:val="4"/>
        <w:tblW w:w="0" w:type="auto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80"/>
        <w:gridCol w:w="2880"/>
        <w:gridCol w:w="2880"/>
      </w:tblGrid>
      <w:tr w14:paraId="56CD40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80" w:type="dxa"/>
            <w:shd w:val="clear" w:color="auto" w:fill="ADB9CA" w:themeFill="text2" w:themeFillTint="66"/>
            <w:vAlign w:val="center"/>
          </w:tcPr>
          <w:p w14:paraId="2C1125C0">
            <w:r>
              <w:t>Procedure</w:t>
            </w:r>
          </w:p>
        </w:tc>
        <w:tc>
          <w:tcPr>
            <w:tcW w:w="2880" w:type="dxa"/>
            <w:shd w:val="clear" w:color="auto" w:fill="ADB9CA" w:themeFill="text2" w:themeFillTint="66"/>
            <w:vAlign w:val="center"/>
          </w:tcPr>
          <w:p w14:paraId="28E20594">
            <w:r>
              <w:t>Tooth/Area</w:t>
            </w:r>
          </w:p>
        </w:tc>
        <w:tc>
          <w:tcPr>
            <w:tcW w:w="2880" w:type="dxa"/>
            <w:shd w:val="clear" w:color="auto" w:fill="ADB9CA" w:themeFill="text2" w:themeFillTint="66"/>
            <w:vAlign w:val="center"/>
          </w:tcPr>
          <w:p w14:paraId="01FCB58B">
            <w:r>
              <w:t>Estimated Fee</w:t>
            </w:r>
          </w:p>
        </w:tc>
      </w:tr>
      <w:tr w14:paraId="5B5AFC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80" w:type="dxa"/>
          </w:tcPr>
          <w:p w14:paraId="1B3078BF">
            <w:pPr>
              <w:rPr>
                <w:lang w:val="en-US"/>
              </w:rPr>
            </w:pPr>
            <w:r>
              <w:rPr>
                <w:lang w:val="en-US"/>
              </w:rPr>
              <w:t>Restoration (filling)</w:t>
            </w:r>
          </w:p>
        </w:tc>
        <w:tc>
          <w:tcPr>
            <w:tcW w:w="2880" w:type="dxa"/>
          </w:tcPr>
          <w:p w14:paraId="2D9506BD">
            <w:pPr>
              <w:rPr>
                <w:lang w:val="en-US"/>
              </w:rPr>
            </w:pPr>
            <w:r>
              <w:rPr>
                <w:lang w:val="en-US"/>
              </w:rPr>
              <w:t>#17 – Occlusal, Buccal (UPPER RIGHT)</w:t>
            </w:r>
          </w:p>
        </w:tc>
        <w:tc>
          <w:tcPr>
            <w:tcW w:w="2880" w:type="dxa"/>
          </w:tcPr>
          <w:p w14:paraId="493041D9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3,600</w:t>
            </w:r>
          </w:p>
        </w:tc>
      </w:tr>
      <w:tr w14:paraId="1929C1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80" w:type="dxa"/>
          </w:tcPr>
          <w:p w14:paraId="4C9E0558">
            <w:pPr>
              <w:rPr>
                <w:lang w:val="en-US"/>
              </w:rPr>
            </w:pPr>
            <w:r>
              <w:rPr>
                <w:lang w:val="en-US"/>
              </w:rPr>
              <w:t>Restoration (filling)</w:t>
            </w:r>
          </w:p>
        </w:tc>
        <w:tc>
          <w:tcPr>
            <w:tcW w:w="2880" w:type="dxa"/>
          </w:tcPr>
          <w:p w14:paraId="653FED63">
            <w:pPr>
              <w:rPr>
                <w:lang w:val="en-US"/>
              </w:rPr>
            </w:pPr>
            <w:r>
              <w:rPr>
                <w:lang w:val="en-US"/>
              </w:rPr>
              <w:t>#16 – Occlusal (UPPER RIGHT)</w:t>
            </w:r>
          </w:p>
        </w:tc>
        <w:tc>
          <w:tcPr>
            <w:tcW w:w="2880" w:type="dxa"/>
          </w:tcPr>
          <w:p w14:paraId="6082E8CC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1,800</w:t>
            </w:r>
          </w:p>
        </w:tc>
      </w:tr>
      <w:tr w14:paraId="4E7F9C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80" w:type="dxa"/>
          </w:tcPr>
          <w:p w14:paraId="71E8EBED">
            <w:pPr>
              <w:rPr>
                <w:lang w:val="en-US"/>
              </w:rPr>
            </w:pPr>
            <w:r>
              <w:rPr>
                <w:lang w:val="en-US"/>
              </w:rPr>
              <w:t>Restoration (filling)</w:t>
            </w:r>
          </w:p>
        </w:tc>
        <w:tc>
          <w:tcPr>
            <w:tcW w:w="2880" w:type="dxa"/>
          </w:tcPr>
          <w:p w14:paraId="0FAFDE35">
            <w:pPr>
              <w:rPr>
                <w:lang w:val="en-US"/>
              </w:rPr>
            </w:pPr>
            <w:r>
              <w:rPr>
                <w:lang w:val="en-US"/>
              </w:rPr>
              <w:t>#12 – Lingual (UPPER RIGHT)</w:t>
            </w:r>
          </w:p>
        </w:tc>
        <w:tc>
          <w:tcPr>
            <w:tcW w:w="2880" w:type="dxa"/>
          </w:tcPr>
          <w:p w14:paraId="68EC5B83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1,800</w:t>
            </w:r>
          </w:p>
        </w:tc>
      </w:tr>
      <w:tr w14:paraId="269303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80" w:type="dxa"/>
          </w:tcPr>
          <w:p w14:paraId="10A8F036">
            <w:r>
              <w:rPr>
                <w:lang w:val="en-US"/>
              </w:rPr>
              <w:t>Restoration (filling)</w:t>
            </w:r>
          </w:p>
        </w:tc>
        <w:tc>
          <w:tcPr>
            <w:tcW w:w="2880" w:type="dxa"/>
          </w:tcPr>
          <w:p w14:paraId="3C13F6AC">
            <w:pPr>
              <w:rPr>
                <w:lang w:val="en-US"/>
              </w:rPr>
            </w:pPr>
            <w:r>
              <w:rPr>
                <w:lang w:val="en-US"/>
              </w:rPr>
              <w:t>#13 – Lingual (UPPER RIGHT)</w:t>
            </w:r>
          </w:p>
        </w:tc>
        <w:tc>
          <w:tcPr>
            <w:tcW w:w="2880" w:type="dxa"/>
          </w:tcPr>
          <w:p w14:paraId="64EB0105">
            <w:pPr>
              <w:rPr>
                <w:lang w:val="en-US"/>
              </w:rPr>
            </w:pPr>
            <w:r>
              <w:rPr>
                <w:b/>
                <w:bCs/>
                <w:lang w:val="en-US"/>
              </w:rPr>
              <w:t>1,800</w:t>
            </w:r>
          </w:p>
        </w:tc>
      </w:tr>
      <w:tr w14:paraId="7B79C4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80" w:type="dxa"/>
          </w:tcPr>
          <w:p w14:paraId="70ED671A">
            <w:r>
              <w:rPr>
                <w:lang w:val="en-US"/>
              </w:rPr>
              <w:t>Restoration (filling)</w:t>
            </w:r>
          </w:p>
        </w:tc>
        <w:tc>
          <w:tcPr>
            <w:tcW w:w="2880" w:type="dxa"/>
          </w:tcPr>
          <w:p w14:paraId="5E995285">
            <w:pPr>
              <w:rPr>
                <w:lang w:val="en-US"/>
              </w:rPr>
            </w:pPr>
            <w:r>
              <w:rPr>
                <w:lang w:val="en-US"/>
              </w:rPr>
              <w:t>#22 – Lingual (UPPER LEFT)</w:t>
            </w:r>
          </w:p>
        </w:tc>
        <w:tc>
          <w:tcPr>
            <w:tcW w:w="2880" w:type="dxa"/>
          </w:tcPr>
          <w:p w14:paraId="3AFF9EBE">
            <w:pPr>
              <w:tabs>
                <w:tab w:val="left" w:pos="1905"/>
              </w:tabs>
              <w:rPr>
                <w:b/>
                <w:bCs/>
                <w:color w:val="FF0000"/>
                <w:lang w:val="en-US"/>
              </w:rPr>
            </w:pPr>
            <w:r>
              <w:rPr>
                <w:b/>
                <w:bCs/>
                <w:lang w:val="en-US"/>
              </w:rPr>
              <w:t>1,800</w:t>
            </w:r>
            <w:r>
              <w:rPr>
                <w:b/>
                <w:bCs/>
                <w:color w:val="FF0000"/>
                <w:lang w:val="en-US"/>
              </w:rPr>
              <w:tab/>
            </w:r>
          </w:p>
        </w:tc>
      </w:tr>
      <w:tr w14:paraId="1BDDF6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80" w:type="dxa"/>
          </w:tcPr>
          <w:p w14:paraId="097353EA">
            <w:r>
              <w:rPr>
                <w:lang w:val="en-US"/>
              </w:rPr>
              <w:t>Extraction of primary tooth</w:t>
            </w:r>
          </w:p>
        </w:tc>
        <w:tc>
          <w:tcPr>
            <w:tcW w:w="2880" w:type="dxa"/>
          </w:tcPr>
          <w:p w14:paraId="2866F886">
            <w:pPr>
              <w:rPr>
                <w:lang w:val="en-US"/>
              </w:rPr>
            </w:pPr>
            <w:r>
              <w:rPr>
                <w:lang w:val="en-US"/>
              </w:rPr>
              <w:t>#64/65 – root fragment (UPPER LEFT)</w:t>
            </w:r>
          </w:p>
        </w:tc>
        <w:tc>
          <w:tcPr>
            <w:tcW w:w="2880" w:type="dxa"/>
          </w:tcPr>
          <w:p w14:paraId="1158EF38">
            <w:pPr>
              <w:rPr>
                <w:b/>
                <w:bCs/>
              </w:rPr>
            </w:pPr>
            <w:r>
              <w:rPr>
                <w:b/>
                <w:bCs/>
                <w:lang w:val="en-US"/>
              </w:rPr>
              <w:t>1,500</w:t>
            </w:r>
          </w:p>
        </w:tc>
      </w:tr>
      <w:tr w14:paraId="0CBB62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80" w:type="dxa"/>
          </w:tcPr>
          <w:p w14:paraId="2D3B384E">
            <w:r>
              <w:rPr>
                <w:lang w:val="en-US"/>
              </w:rPr>
              <w:t>Restoration (filling)</w:t>
            </w:r>
          </w:p>
        </w:tc>
        <w:tc>
          <w:tcPr>
            <w:tcW w:w="2880" w:type="dxa"/>
          </w:tcPr>
          <w:p w14:paraId="53EBD523">
            <w:pPr>
              <w:rPr>
                <w:lang w:val="en-US"/>
              </w:rPr>
            </w:pPr>
            <w:r>
              <w:rPr>
                <w:lang w:val="en-US"/>
              </w:rPr>
              <w:t>#26 – Occlusal, Buccal (UPPER LEFT)</w:t>
            </w:r>
          </w:p>
        </w:tc>
        <w:tc>
          <w:tcPr>
            <w:tcW w:w="2880" w:type="dxa"/>
          </w:tcPr>
          <w:p w14:paraId="195C8086">
            <w:pPr>
              <w:rPr>
                <w:b/>
                <w:bCs/>
              </w:rPr>
            </w:pPr>
            <w:r>
              <w:rPr>
                <w:b/>
                <w:bCs/>
                <w:lang w:val="en-US"/>
              </w:rPr>
              <w:t>3,600</w:t>
            </w:r>
          </w:p>
        </w:tc>
      </w:tr>
      <w:tr w14:paraId="3AE713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80" w:type="dxa"/>
          </w:tcPr>
          <w:p w14:paraId="0BB44B34">
            <w:r>
              <w:rPr>
                <w:lang w:val="en-US"/>
              </w:rPr>
              <w:t>Restoration (filling)</w:t>
            </w:r>
          </w:p>
        </w:tc>
        <w:tc>
          <w:tcPr>
            <w:tcW w:w="2880" w:type="dxa"/>
          </w:tcPr>
          <w:p w14:paraId="1EB5AE3C">
            <w:pPr>
              <w:rPr>
                <w:lang w:val="en-US"/>
              </w:rPr>
            </w:pPr>
            <w:r>
              <w:rPr>
                <w:lang w:val="en-US"/>
              </w:rPr>
              <w:t>#27 – Occlusal, Buccal (UPPER LEFT)</w:t>
            </w:r>
          </w:p>
        </w:tc>
        <w:tc>
          <w:tcPr>
            <w:tcW w:w="2880" w:type="dxa"/>
          </w:tcPr>
          <w:p w14:paraId="3AE9EAF2">
            <w:pPr>
              <w:rPr>
                <w:b/>
                <w:bCs/>
              </w:rPr>
            </w:pPr>
            <w:r>
              <w:rPr>
                <w:b/>
                <w:bCs/>
                <w:lang w:val="en-US"/>
              </w:rPr>
              <w:t>3,600</w:t>
            </w:r>
          </w:p>
        </w:tc>
      </w:tr>
      <w:tr w14:paraId="00E547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80" w:type="dxa"/>
          </w:tcPr>
          <w:p w14:paraId="4DEE157A">
            <w:pPr>
              <w:rPr>
                <w:lang w:val="en-US"/>
              </w:rPr>
            </w:pPr>
            <w:r>
              <w:rPr>
                <w:lang w:val="en-US"/>
              </w:rPr>
              <w:t>Restoration (filling)</w:t>
            </w:r>
          </w:p>
        </w:tc>
        <w:tc>
          <w:tcPr>
            <w:tcW w:w="2880" w:type="dxa"/>
          </w:tcPr>
          <w:p w14:paraId="41BAC9E7">
            <w:pPr>
              <w:rPr>
                <w:lang w:val="en-US"/>
              </w:rPr>
            </w:pPr>
            <w:r>
              <w:rPr>
                <w:lang w:val="en-US"/>
              </w:rPr>
              <w:t>#38 – Occlusal (LOWER LEFT)</w:t>
            </w:r>
          </w:p>
        </w:tc>
        <w:tc>
          <w:tcPr>
            <w:tcW w:w="2880" w:type="dxa"/>
          </w:tcPr>
          <w:p w14:paraId="35E081EE">
            <w:pPr>
              <w:rPr>
                <w:color w:val="FF0000"/>
                <w:lang w:val="en-US"/>
              </w:rPr>
            </w:pPr>
            <w:r>
              <w:rPr>
                <w:b/>
                <w:bCs/>
                <w:lang w:val="en-US"/>
              </w:rPr>
              <w:t>1,800</w:t>
            </w:r>
          </w:p>
        </w:tc>
      </w:tr>
      <w:tr w14:paraId="2CF781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80" w:type="dxa"/>
          </w:tcPr>
          <w:p w14:paraId="76EA45A6">
            <w:pPr>
              <w:rPr>
                <w:lang w:val="en-US"/>
              </w:rPr>
            </w:pPr>
            <w:r>
              <w:rPr>
                <w:lang w:val="en-US"/>
              </w:rPr>
              <w:t>Restoration (filling)</w:t>
            </w:r>
          </w:p>
        </w:tc>
        <w:tc>
          <w:tcPr>
            <w:tcW w:w="2880" w:type="dxa"/>
          </w:tcPr>
          <w:p w14:paraId="147ED962">
            <w:pPr>
              <w:rPr>
                <w:lang w:val="en-US"/>
              </w:rPr>
            </w:pPr>
            <w:r>
              <w:rPr>
                <w:lang w:val="en-US"/>
              </w:rPr>
              <w:t>#36 – Occlusal, Buccal (LOWER LEFT)</w:t>
            </w:r>
          </w:p>
        </w:tc>
        <w:tc>
          <w:tcPr>
            <w:tcW w:w="2880" w:type="dxa"/>
          </w:tcPr>
          <w:p w14:paraId="61664F27">
            <w:pPr>
              <w:rPr>
                <w:color w:val="FF0000"/>
                <w:lang w:val="en-US"/>
              </w:rPr>
            </w:pPr>
            <w:r>
              <w:rPr>
                <w:b/>
                <w:bCs/>
                <w:lang w:val="en-US"/>
              </w:rPr>
              <w:t>3,600</w:t>
            </w:r>
          </w:p>
        </w:tc>
      </w:tr>
      <w:tr w14:paraId="66CD0E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80" w:type="dxa"/>
          </w:tcPr>
          <w:p w14:paraId="2E20BEE7">
            <w:pPr>
              <w:rPr>
                <w:lang w:val="en-US"/>
              </w:rPr>
            </w:pPr>
            <w:r>
              <w:rPr>
                <w:lang w:val="en-US"/>
              </w:rPr>
              <w:t>Extraction</w:t>
            </w:r>
          </w:p>
        </w:tc>
        <w:tc>
          <w:tcPr>
            <w:tcW w:w="2880" w:type="dxa"/>
          </w:tcPr>
          <w:p w14:paraId="39487272">
            <w:pPr>
              <w:rPr>
                <w:lang w:val="en-US"/>
              </w:rPr>
            </w:pPr>
            <w:r>
              <w:rPr>
                <w:lang w:val="en-US"/>
              </w:rPr>
              <w:t>#44 (LOWER RIGHT)</w:t>
            </w:r>
          </w:p>
        </w:tc>
        <w:tc>
          <w:tcPr>
            <w:tcW w:w="2880" w:type="dxa"/>
          </w:tcPr>
          <w:p w14:paraId="2B5B40AE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Starts at 1,500</w:t>
            </w:r>
          </w:p>
        </w:tc>
      </w:tr>
      <w:tr w14:paraId="7EA198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80" w:type="dxa"/>
          </w:tcPr>
          <w:p w14:paraId="63B9F1C5">
            <w:pPr>
              <w:rPr>
                <w:lang w:val="en-US"/>
              </w:rPr>
            </w:pPr>
            <w:r>
              <w:rPr>
                <w:lang w:val="en-US"/>
              </w:rPr>
              <w:t>Restoration (filling)</w:t>
            </w:r>
          </w:p>
        </w:tc>
        <w:tc>
          <w:tcPr>
            <w:tcW w:w="2880" w:type="dxa"/>
          </w:tcPr>
          <w:p w14:paraId="6F7CFF5C">
            <w:pPr>
              <w:rPr>
                <w:lang w:val="en-US"/>
              </w:rPr>
            </w:pPr>
            <w:r>
              <w:rPr>
                <w:lang w:val="en-US"/>
              </w:rPr>
              <w:t>#46 – Occlusal, Buccal (LOWER RIGHT)</w:t>
            </w:r>
          </w:p>
        </w:tc>
        <w:tc>
          <w:tcPr>
            <w:tcW w:w="2880" w:type="dxa"/>
          </w:tcPr>
          <w:p w14:paraId="295D62BC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3,600</w:t>
            </w:r>
          </w:p>
        </w:tc>
      </w:tr>
      <w:tr w14:paraId="47D230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80" w:type="dxa"/>
          </w:tcPr>
          <w:p w14:paraId="18753CCE">
            <w:pPr>
              <w:rPr>
                <w:lang w:val="en-US"/>
              </w:rPr>
            </w:pPr>
            <w:r>
              <w:rPr>
                <w:lang w:val="en-US"/>
              </w:rPr>
              <w:t>Restoration (filling)</w:t>
            </w:r>
          </w:p>
        </w:tc>
        <w:tc>
          <w:tcPr>
            <w:tcW w:w="2880" w:type="dxa"/>
          </w:tcPr>
          <w:p w14:paraId="64AA6A00">
            <w:r>
              <w:rPr>
                <w:lang w:val="en-US"/>
              </w:rPr>
              <w:t>#47 – Occlusal</w:t>
            </w:r>
            <w:r>
              <w:t xml:space="preserve"> </w:t>
            </w:r>
            <w:r>
              <w:rPr>
                <w:lang w:val="en-US"/>
              </w:rPr>
              <w:t>(LOWER RIGHT)</w:t>
            </w:r>
          </w:p>
        </w:tc>
        <w:tc>
          <w:tcPr>
            <w:tcW w:w="2880" w:type="dxa"/>
          </w:tcPr>
          <w:p w14:paraId="78B1608E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1,800</w:t>
            </w:r>
          </w:p>
        </w:tc>
      </w:tr>
      <w:tr w14:paraId="3098A6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80" w:type="dxa"/>
          </w:tcPr>
          <w:p w14:paraId="65A072DE">
            <w:pPr>
              <w:rPr>
                <w:lang w:val="en-US"/>
              </w:rPr>
            </w:pPr>
            <w:r>
              <w:rPr>
                <w:lang w:val="en-US"/>
              </w:rPr>
              <w:t>Restoration (filling)</w:t>
            </w:r>
          </w:p>
        </w:tc>
        <w:tc>
          <w:tcPr>
            <w:tcW w:w="2880" w:type="dxa"/>
          </w:tcPr>
          <w:p w14:paraId="57639B71">
            <w:pPr>
              <w:rPr>
                <w:lang w:val="en-US"/>
              </w:rPr>
            </w:pPr>
            <w:r>
              <w:rPr>
                <w:lang w:val="en-US"/>
              </w:rPr>
              <w:t>#48 – Occlusal (LOWER RIGHT)</w:t>
            </w:r>
          </w:p>
        </w:tc>
        <w:tc>
          <w:tcPr>
            <w:tcW w:w="2880" w:type="dxa"/>
          </w:tcPr>
          <w:p w14:paraId="234F345D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1,800</w:t>
            </w:r>
          </w:p>
        </w:tc>
      </w:tr>
    </w:tbl>
    <w:p w14:paraId="2E36D85B">
      <w:pPr>
        <w:rPr>
          <w:lang w:val="en-US"/>
        </w:rPr>
      </w:pPr>
    </w:p>
    <w:p w14:paraId="2ECD135E">
      <w:pPr>
        <w:rPr>
          <w:lang w:val="en-US"/>
        </w:rPr>
      </w:pPr>
      <w:bookmarkStart w:id="0" w:name="_GoBack"/>
      <w:bookmarkEnd w:id="0"/>
      <w:r>
        <w:rPr>
          <w:lang w:val="en-US"/>
        </w:rPr>
        <w:t xml:space="preserve">OPTIONAL FOR </w:t>
      </w:r>
      <w:r>
        <w:rPr>
          <w:rFonts w:hint="default"/>
          <w:lang w:val="en-US"/>
        </w:rPr>
        <w:t>DEEP CARIES</w:t>
      </w:r>
      <w:r>
        <w:rPr>
          <w:lang w:val="en-US"/>
        </w:rPr>
        <w:t>:</w:t>
      </w:r>
    </w:p>
    <w:p w14:paraId="58948410">
      <w:pPr>
        <w:rPr>
          <w:lang w:val="en-US"/>
        </w:rPr>
      </w:pPr>
      <w:r>
        <w:rPr>
          <w:b/>
          <w:bCs/>
          <w:lang w:val="en-US"/>
        </w:rPr>
        <w:t>CAOH PASTE</w:t>
      </w:r>
      <w:r>
        <w:rPr>
          <w:lang w:val="en-US"/>
        </w:rPr>
        <w:t xml:space="preserve"> -prn- </w:t>
      </w:r>
      <w:r>
        <w:rPr>
          <w:color w:val="FF0000"/>
          <w:lang w:val="en-US"/>
        </w:rPr>
        <w:t>800</w:t>
      </w:r>
      <w:r>
        <w:rPr>
          <w:lang w:val="en-US"/>
        </w:rPr>
        <w:t>/ TOOTH</w:t>
      </w:r>
    </w:p>
    <w:p w14:paraId="549B506C">
      <w:pPr>
        <w:rPr>
          <w:lang w:val="en-US"/>
        </w:rPr>
      </w:pPr>
      <w:r>
        <w:rPr>
          <w:b/>
          <w:bCs/>
          <w:lang w:val="en-US"/>
        </w:rPr>
        <w:t>GI</w:t>
      </w:r>
      <w:r>
        <w:rPr>
          <w:lang w:val="en-US"/>
        </w:rPr>
        <w:t xml:space="preserve">- </w:t>
      </w:r>
      <w:r>
        <w:rPr>
          <w:color w:val="FF0000"/>
          <w:lang w:val="en-US"/>
        </w:rPr>
        <w:t>1000</w:t>
      </w:r>
      <w:r>
        <w:rPr>
          <w:lang w:val="en-US"/>
        </w:rPr>
        <w:t xml:space="preserve">/ TOOTH </w:t>
      </w:r>
    </w:p>
    <w:p w14:paraId="59DBEA98">
      <w:pPr>
        <w:rPr>
          <w:lang w:val="en-US"/>
        </w:rPr>
      </w:pPr>
    </w:p>
    <w:p w14:paraId="28E5D2C1">
      <w:pPr>
        <w:pStyle w:val="2"/>
        <w:rPr>
          <w:lang w:eastAsia="en-PH"/>
        </w:rPr>
      </w:pPr>
      <w:r>
        <w:t>Patient Acceptance and Informed Consent</w:t>
      </w:r>
    </w:p>
    <w:p w14:paraId="13D2FC2D">
      <w:r>
        <w:t>I acknowledge that the proposed treatment, benefits, risks, alternatives, estimated fees, and possible need for additional procedures have been explained to me. I understand that dentistry cannot guarantee specific outcomes. I voluntarily consent to the proposed treatment and agree to the clinic's payment policies.</w:t>
      </w:r>
    </w:p>
    <w:p w14:paraId="2020F775">
      <w:r>
        <w:br w:type="textWrapping"/>
      </w:r>
      <w:r>
        <w:t>Patient Signature: __________________ Date: __________</w:t>
      </w:r>
    </w:p>
    <w:p w14:paraId="24D8FB4C">
      <w:pPr>
        <w:rPr>
          <w:lang w:val="en-US"/>
        </w:rPr>
      </w:pPr>
    </w:p>
    <w:p w14:paraId="65692DAD">
      <w:pPr>
        <w:rPr>
          <w:sz w:val="24"/>
          <w:szCs w:val="24"/>
        </w:rPr>
      </w:pPr>
    </w:p>
    <w:p w14:paraId="0F0A3C03">
      <w:pPr>
        <w:rPr>
          <w:sz w:val="24"/>
          <w:szCs w:val="24"/>
        </w:rPr>
      </w:pPr>
    </w:p>
    <w:sectPr>
      <w:footerReference r:id="rId5" w:type="default"/>
      <w:pgSz w:w="12240" w:h="15840"/>
      <w:pgMar w:top="1440" w:right="1440" w:bottom="1440" w:left="144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等线 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1D909B8">
    <w:pPr>
      <w:pStyle w:val="5"/>
      <w:rPr>
        <w:lang w:val="en-US"/>
      </w:rPr>
    </w:pPr>
    <w:r>
      <w:rPr>
        <w:lang w:val="en-US"/>
      </w:rPr>
      <w:t>By: Jawaher Aguam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1386"/>
    <w:rsid w:val="000130F2"/>
    <w:rsid w:val="0009036D"/>
    <w:rsid w:val="002370B2"/>
    <w:rsid w:val="00280D52"/>
    <w:rsid w:val="00330853"/>
    <w:rsid w:val="00333E3D"/>
    <w:rsid w:val="003A6D78"/>
    <w:rsid w:val="0045615B"/>
    <w:rsid w:val="004622E3"/>
    <w:rsid w:val="005E41E4"/>
    <w:rsid w:val="005F1386"/>
    <w:rsid w:val="005F4554"/>
    <w:rsid w:val="00707972"/>
    <w:rsid w:val="00767AB7"/>
    <w:rsid w:val="008E2B64"/>
    <w:rsid w:val="009A2609"/>
    <w:rsid w:val="00A15CF7"/>
    <w:rsid w:val="00A8040C"/>
    <w:rsid w:val="00AF1D86"/>
    <w:rsid w:val="00B87741"/>
    <w:rsid w:val="00C84B19"/>
    <w:rsid w:val="00D5133E"/>
    <w:rsid w:val="00DA60BF"/>
    <w:rsid w:val="00F0488E"/>
    <w:rsid w:val="00F71543"/>
    <w:rsid w:val="20EE0D30"/>
    <w:rsid w:val="4C086C0A"/>
    <w:rsid w:val="5F2F492B"/>
    <w:rsid w:val="64805BFE"/>
    <w:rsid w:val="789D3D47"/>
    <w:rsid w:val="7F4544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en-PH" w:eastAsia="en-US" w:bidi="ar-SA"/>
    </w:rPr>
  </w:style>
  <w:style w:type="paragraph" w:styleId="2">
    <w:name w:val="heading 2"/>
    <w:basedOn w:val="1"/>
    <w:next w:val="1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472C4" w:themeColor="accent1"/>
      <w:sz w:val="26"/>
      <w:szCs w:val="26"/>
      <w14:textFill>
        <w14:solidFill>
          <w14:schemeClr w14:val="accent1"/>
        </w14:solidFill>
      </w14:textFill>
    </w:rPr>
  </w:style>
  <w:style w:type="character" w:default="1" w:styleId="3">
    <w:name w:val="Default Paragraph Font"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link w:val="8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6">
    <w:name w:val="header"/>
    <w:basedOn w:val="1"/>
    <w:link w:val="7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7">
    <w:name w:val="Header Char"/>
    <w:basedOn w:val="3"/>
    <w:link w:val="6"/>
    <w:qFormat/>
    <w:uiPriority w:val="99"/>
  </w:style>
  <w:style w:type="character" w:customStyle="1" w:styleId="8">
    <w:name w:val="Footer Char"/>
    <w:basedOn w:val="3"/>
    <w:link w:val="5"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214</Words>
  <Characters>1295</Characters>
  <Lines>10</Lines>
  <Paragraphs>3</Paragraphs>
  <TotalTime>20</TotalTime>
  <ScaleCrop>false</ScaleCrop>
  <LinksUpToDate>false</LinksUpToDate>
  <CharactersWithSpaces>1456</CharactersWithSpaces>
  <Application>WPS Office_12.1.0.27458_F1E327BC-269C-435d-A152-05C5408002CA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2026-07-18T09:10:00Z</dcterms:created>
  <dc:creator>Louie Perez</dc:creator>
  <cp:lastModifiedBy>Louie Perez</cp:lastModifiedBy>
  <cp:lastPrinted>2026-07-09T05:12:00Z</cp:lastPrinted>
  <dcterms:modified xsi:type="dcterms:W3CDTF">2026-07-18T10:56:00Z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eyJoZGlkIjoiN2U2NmIwYjYwNWU2YmZiMTNjZjRhZjc1NDViZjM3NTcifQ==</vt:lpwstr>
  </property>
  <property fmtid="{D5CDD505-2E9C-101B-9397-08002B2CF9AE}" pid="3" name="KSOProductBuildVer">
    <vt:lpwstr>1033-12.1.0.27458</vt:lpwstr>
  </property>
  <property fmtid="{D5CDD505-2E9C-101B-9397-08002B2CF9AE}" pid="4" name="ICV">
    <vt:lpwstr>21D1D5C843944FEA9E6C955348CD58D3_13</vt:lpwstr>
  </property>
</Properties>
</file>