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CA0CA6">
      <w:pPr>
        <w:pStyle w:val="2"/>
      </w:pPr>
      <w:r>
        <w:t>TEETH HUB DENTAL CLINIC</w:t>
      </w:r>
    </w:p>
    <w:p w14:paraId="635420EE">
      <w:pPr>
        <w:pStyle w:val="3"/>
      </w:pPr>
      <w:r>
        <w:t>Estimated Treatment Procedure, Acceptance, and Informed Consent Form</w:t>
      </w:r>
    </w:p>
    <w:p w14:paraId="2D804891">
      <w:r>
        <w:t xml:space="preserve">Patient Name: </w:t>
      </w:r>
      <w:r>
        <w:rPr>
          <w:rFonts w:hint="default"/>
          <w:lang w:val="en-US"/>
        </w:rPr>
        <w:t>Gil Cadiz</w:t>
      </w:r>
      <w:r>
        <w:t xml:space="preserve">  Date: 0</w:t>
      </w:r>
      <w:r>
        <w:rPr>
          <w:rFonts w:hint="default"/>
          <w:lang w:val="en-US"/>
        </w:rPr>
        <w:t>8</w:t>
      </w:r>
      <w:r>
        <w:t>/</w:t>
      </w:r>
      <w:r>
        <w:rPr>
          <w:rFonts w:hint="default"/>
          <w:lang w:val="en-US"/>
        </w:rPr>
        <w:t>19</w:t>
      </w:r>
      <w:r>
        <w:t>/26</w:t>
      </w:r>
    </w:p>
    <w:p w14:paraId="44C41B28">
      <w:pPr>
        <w:pStyle w:val="3"/>
      </w:pPr>
      <w:r>
        <w:t>Estimated Treatment Plan</w:t>
      </w:r>
    </w:p>
    <w:tbl>
      <w:tblPr>
        <w:tblStyle w:val="12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2880"/>
        <w:gridCol w:w="2880"/>
      </w:tblGrid>
      <w:tr w14:paraId="2BAA07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32529B02">
            <w:r>
              <w:t>Procedure</w:t>
            </w:r>
          </w:p>
        </w:tc>
        <w:tc>
          <w:tcPr>
            <w:tcW w:w="2880" w:type="dxa"/>
          </w:tcPr>
          <w:p w14:paraId="26116E86">
            <w:r>
              <w:t>Tooth/Area</w:t>
            </w:r>
          </w:p>
        </w:tc>
        <w:tc>
          <w:tcPr>
            <w:tcW w:w="2880" w:type="dxa"/>
          </w:tcPr>
          <w:p w14:paraId="05C9D982">
            <w:r>
              <w:t>Estimated Fee</w:t>
            </w:r>
          </w:p>
        </w:tc>
      </w:tr>
      <w:tr w14:paraId="01C3C4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34DB5C60">
            <w:pPr>
              <w:rPr>
                <w:rFonts w:hint="default"/>
                <w:b/>
                <w:bCs/>
                <w:lang w:val="en-US"/>
              </w:rPr>
            </w:pPr>
            <w:r>
              <w:rPr>
                <w:rFonts w:hint="default"/>
                <w:b/>
                <w:bCs/>
                <w:lang w:val="en-US"/>
              </w:rPr>
              <w:t>Restoration</w:t>
            </w:r>
          </w:p>
          <w:p w14:paraId="540DE16E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Additional (optional)</w:t>
            </w:r>
          </w:p>
          <w:p w14:paraId="22253BD5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MTA- 1000</w:t>
            </w:r>
          </w:p>
          <w:p w14:paraId="78B3D318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GI- 1000</w:t>
            </w:r>
          </w:p>
          <w:p w14:paraId="3895DD66">
            <w:pPr>
              <w:pStyle w:val="13"/>
              <w:bidi w:val="0"/>
              <w:rPr>
                <w:rFonts w:hint="default"/>
                <w:b/>
                <w:bCs/>
                <w:lang w:val="en-US"/>
              </w:rPr>
            </w:pPr>
            <w:r>
              <w:rPr>
                <w:rFonts w:hint="default"/>
                <w:lang w:val="en-US"/>
              </w:rPr>
              <w:t>CaOH- 800</w:t>
            </w:r>
          </w:p>
        </w:tc>
        <w:tc>
          <w:tcPr>
            <w:tcW w:w="2880" w:type="dxa"/>
          </w:tcPr>
          <w:p w14:paraId="5E738C64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#15- O</w:t>
            </w:r>
          </w:p>
          <w:p w14:paraId="261CC571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#14- O</w:t>
            </w:r>
          </w:p>
          <w:p w14:paraId="701330CD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#16- O,L</w:t>
            </w:r>
          </w:p>
          <w:p w14:paraId="5B7D01D6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#18- O</w:t>
            </w:r>
          </w:p>
          <w:p w14:paraId="325B60C5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#21- M,D</w:t>
            </w:r>
          </w:p>
          <w:p w14:paraId="26C09063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#24- O</w:t>
            </w:r>
          </w:p>
          <w:p w14:paraId="09DBE1D1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#26- O,L</w:t>
            </w:r>
          </w:p>
          <w:p w14:paraId="77BAB66B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#27- O,L,B</w:t>
            </w:r>
          </w:p>
          <w:p w14:paraId="683FF581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#28- O</w:t>
            </w:r>
          </w:p>
          <w:p w14:paraId="69EBD142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#37- O,B</w:t>
            </w:r>
          </w:p>
          <w:p w14:paraId="6CFA542F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#36- O,B</w:t>
            </w:r>
          </w:p>
          <w:p w14:paraId="1F2730A8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#35- O</w:t>
            </w:r>
          </w:p>
          <w:p w14:paraId="3CC66D66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#34- O</w:t>
            </w:r>
          </w:p>
          <w:p w14:paraId="2B9136AB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#46- O,B</w:t>
            </w:r>
          </w:p>
          <w:p w14:paraId="28C20AEA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#47- O,B</w:t>
            </w:r>
          </w:p>
        </w:tc>
        <w:tc>
          <w:tcPr>
            <w:tcW w:w="2880" w:type="dxa"/>
          </w:tcPr>
          <w:p w14:paraId="11DDB70A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1800</w:t>
            </w:r>
          </w:p>
          <w:p w14:paraId="01CA7A70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1800</w:t>
            </w:r>
          </w:p>
          <w:p w14:paraId="2034017F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3600</w:t>
            </w:r>
          </w:p>
          <w:p w14:paraId="49523860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1800</w:t>
            </w:r>
          </w:p>
          <w:p w14:paraId="31494CBA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3600</w:t>
            </w:r>
          </w:p>
          <w:p w14:paraId="5C866EE1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1800</w:t>
            </w:r>
          </w:p>
          <w:p w14:paraId="4D6B4B3E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3600</w:t>
            </w:r>
          </w:p>
          <w:p w14:paraId="5DC8FC29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5400</w:t>
            </w:r>
          </w:p>
          <w:p w14:paraId="049A9ED0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1800</w:t>
            </w:r>
          </w:p>
          <w:p w14:paraId="37B9E919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3600</w:t>
            </w:r>
          </w:p>
          <w:p w14:paraId="672657CA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3600</w:t>
            </w:r>
          </w:p>
          <w:p w14:paraId="7BBB8443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1800</w:t>
            </w:r>
          </w:p>
          <w:p w14:paraId="3760DF3A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1800</w:t>
            </w:r>
          </w:p>
          <w:p w14:paraId="1E68EDD3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3600</w:t>
            </w:r>
          </w:p>
          <w:p w14:paraId="6B6E4A1D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3600</w:t>
            </w:r>
          </w:p>
        </w:tc>
      </w:tr>
      <w:tr w14:paraId="2014F0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4E651287">
            <w:pPr>
              <w:rPr>
                <w:b/>
                <w:bCs/>
              </w:rPr>
            </w:pPr>
            <w:r>
              <w:rPr>
                <w:rFonts w:hint="default"/>
                <w:b/>
                <w:bCs/>
              </w:rPr>
              <w:t>3D scanning &amp; simulation</w:t>
            </w:r>
          </w:p>
        </w:tc>
        <w:tc>
          <w:tcPr>
            <w:tcW w:w="2880" w:type="dxa"/>
          </w:tcPr>
          <w:p w14:paraId="1684ABA0">
            <w:pPr>
              <w:rPr>
                <w:rFonts w:hint="default"/>
                <w:lang w:val="en-US"/>
              </w:rPr>
            </w:pPr>
          </w:p>
        </w:tc>
        <w:tc>
          <w:tcPr>
            <w:tcW w:w="2880" w:type="dxa"/>
          </w:tcPr>
          <w:p w14:paraId="7AB8D6CA">
            <w:pPr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15,000</w:t>
            </w:r>
          </w:p>
        </w:tc>
      </w:tr>
      <w:tr w14:paraId="1CF658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2880" w:type="dxa"/>
          </w:tcPr>
          <w:p w14:paraId="5F9AE04E">
            <w:pPr>
              <w:rPr>
                <w:rFonts w:hint="default"/>
                <w:b/>
                <w:bCs/>
              </w:rPr>
            </w:pPr>
            <w:r>
              <w:rPr>
                <w:rFonts w:hint="default"/>
                <w:b/>
                <w:bCs/>
              </w:rPr>
              <w:t>Approval of 3D simulation</w:t>
            </w:r>
          </w:p>
        </w:tc>
        <w:tc>
          <w:tcPr>
            <w:tcW w:w="2880" w:type="dxa"/>
          </w:tcPr>
          <w:p w14:paraId="0C905C95">
            <w:pPr>
              <w:rPr>
                <w:rFonts w:hint="default"/>
                <w:lang w:val="en-US"/>
              </w:rPr>
            </w:pPr>
          </w:p>
        </w:tc>
        <w:tc>
          <w:tcPr>
            <w:tcW w:w="2880" w:type="dxa"/>
          </w:tcPr>
          <w:p w14:paraId="6AA18567"/>
        </w:tc>
      </w:tr>
      <w:tr w14:paraId="65C1A3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4F33A24C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Lite Case</w:t>
            </w:r>
          </w:p>
          <w:p w14:paraId="24CE3BF7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Simple Case</w:t>
            </w:r>
          </w:p>
          <w:p w14:paraId="62BEBB42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Moderate Case</w:t>
            </w:r>
          </w:p>
          <w:p w14:paraId="7125995B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Complex</w:t>
            </w:r>
          </w:p>
          <w:p w14:paraId="1ED32773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Comprehensive</w:t>
            </w:r>
          </w:p>
        </w:tc>
        <w:tc>
          <w:tcPr>
            <w:tcW w:w="2880" w:type="dxa"/>
          </w:tcPr>
          <w:p w14:paraId="333C4F00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6 sets of aligners</w:t>
            </w:r>
          </w:p>
          <w:p w14:paraId="28EED03B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12 sets of aligners</w:t>
            </w:r>
          </w:p>
          <w:p w14:paraId="4C3D0D89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25 sets of aligners</w:t>
            </w:r>
          </w:p>
          <w:p w14:paraId="5AF25C41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50 sets of aligners</w:t>
            </w:r>
          </w:p>
          <w:p w14:paraId="19D32A47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 xml:space="preserve">100 sets of aligners </w:t>
            </w:r>
          </w:p>
          <w:p w14:paraId="24FC1E02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+2 refinements</w:t>
            </w:r>
          </w:p>
        </w:tc>
        <w:tc>
          <w:tcPr>
            <w:tcW w:w="2880" w:type="dxa"/>
          </w:tcPr>
          <w:p w14:paraId="250D49AC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48,000</w:t>
            </w:r>
          </w:p>
          <w:p w14:paraId="256925D1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88,000</w:t>
            </w:r>
          </w:p>
          <w:p w14:paraId="2A6FA54E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108,000 - 128,000</w:t>
            </w:r>
          </w:p>
          <w:p w14:paraId="114A5F7C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158,000 - 188,000</w:t>
            </w:r>
          </w:p>
          <w:p w14:paraId="654739BF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248,000</w:t>
            </w:r>
          </w:p>
        </w:tc>
      </w:tr>
      <w:tr w14:paraId="797A0D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45223EAB">
            <w:pPr>
              <w:rPr>
                <w:rFonts w:hint="default"/>
                <w:b/>
                <w:bCs/>
              </w:rPr>
            </w:pPr>
            <w:r>
              <w:rPr>
                <w:rFonts w:hint="default"/>
                <w:b/>
                <w:bCs/>
                <w:lang w:val="en-US"/>
              </w:rPr>
              <w:t>D</w:t>
            </w:r>
            <w:r>
              <w:rPr>
                <w:rFonts w:hint="default"/>
                <w:b/>
                <w:bCs/>
              </w:rPr>
              <w:t>ownpayment</w:t>
            </w:r>
          </w:p>
        </w:tc>
        <w:tc>
          <w:tcPr>
            <w:tcW w:w="2880" w:type="dxa"/>
          </w:tcPr>
          <w:p w14:paraId="2CED30D8">
            <w:pPr>
              <w:rPr>
                <w:rFonts w:hint="default"/>
                <w:lang w:val="en-US"/>
              </w:rPr>
            </w:pPr>
          </w:p>
        </w:tc>
        <w:tc>
          <w:tcPr>
            <w:tcW w:w="2880" w:type="dxa"/>
          </w:tcPr>
          <w:p w14:paraId="3750E002">
            <w:pPr>
              <w:rPr>
                <w:b w:val="0"/>
                <w:bCs w:val="0"/>
              </w:rPr>
            </w:pPr>
            <w:r>
              <w:rPr>
                <w:rFonts w:hint="default"/>
                <w:b w:val="0"/>
                <w:bCs w:val="0"/>
                <w:lang w:val="en-US"/>
              </w:rPr>
              <w:t>H</w:t>
            </w:r>
            <w:r>
              <w:rPr>
                <w:rFonts w:hint="default"/>
                <w:b w:val="0"/>
                <w:bCs w:val="0"/>
              </w:rPr>
              <w:t>alf of the treatment price</w:t>
            </w:r>
            <w:r>
              <w:rPr>
                <w:rFonts w:hint="default"/>
                <w:b w:val="0"/>
                <w:bCs w:val="0"/>
                <w:lang w:val="en-US"/>
              </w:rPr>
              <w:t xml:space="preserve"> -</w:t>
            </w:r>
            <w:r>
              <w:rPr>
                <w:rFonts w:hint="default"/>
                <w:b w:val="0"/>
                <w:bCs w:val="0"/>
              </w:rPr>
              <w:t>50%</w:t>
            </w:r>
          </w:p>
        </w:tc>
      </w:tr>
      <w:tr w14:paraId="0E1EF6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33D90047">
            <w:pPr>
              <w:rPr>
                <w:rFonts w:hint="default"/>
                <w:b/>
                <w:bCs/>
                <w:lang w:val="en-US"/>
              </w:rPr>
            </w:pPr>
            <w:r>
              <w:rPr>
                <w:rFonts w:hint="default"/>
                <w:b/>
                <w:bCs/>
                <w:lang w:val="en-US"/>
              </w:rPr>
              <w:t>Installment or delivery of aligners</w:t>
            </w:r>
          </w:p>
        </w:tc>
        <w:tc>
          <w:tcPr>
            <w:tcW w:w="2880" w:type="dxa"/>
          </w:tcPr>
          <w:p w14:paraId="1640B82C">
            <w:pPr>
              <w:rPr>
                <w:rFonts w:hint="default"/>
                <w:lang w:val="en-US"/>
              </w:rPr>
            </w:pPr>
          </w:p>
        </w:tc>
        <w:tc>
          <w:tcPr>
            <w:tcW w:w="2880" w:type="dxa"/>
          </w:tcPr>
          <w:p w14:paraId="49371BDD">
            <w:pPr>
              <w:rPr>
                <w:rFonts w:hint="default"/>
                <w:b w:val="0"/>
                <w:bCs w:val="0"/>
                <w:lang w:val="en-US"/>
              </w:rPr>
            </w:pPr>
            <w:r>
              <w:rPr>
                <w:rFonts w:hint="default"/>
                <w:b w:val="0"/>
                <w:bCs w:val="0"/>
                <w:lang w:val="en-US"/>
              </w:rPr>
              <w:t>Remaining Balance - 50%</w:t>
            </w:r>
          </w:p>
        </w:tc>
      </w:tr>
    </w:tbl>
    <w:p w14:paraId="6AA99D8E">
      <w:pPr>
        <w:pStyle w:val="3"/>
      </w:pPr>
    </w:p>
    <w:p w14:paraId="0EA3D6A0">
      <w:pPr>
        <w:pStyle w:val="3"/>
      </w:pPr>
      <w:bookmarkStart w:id="0" w:name="_GoBack"/>
      <w:bookmarkEnd w:id="0"/>
      <w:r>
        <w:t>Patient Acceptance and Informed Consent</w:t>
      </w:r>
    </w:p>
    <w:p w14:paraId="3E6D6156">
      <w:r>
        <w:t>I acknowledge that the proposed treatment, benefits, risks, alternatives, estimated fees, and possible need for additional procedures have been explained to me. I understand that dentistry cannot guarantee specific outcomes. I voluntarily consent to the proposed treatment and agree to the clinic's payment policies.</w:t>
      </w:r>
    </w:p>
    <w:p w14:paraId="053BF657">
      <w:r>
        <w:br w:type="textWrapping"/>
      </w:r>
      <w:r>
        <w:t>Patient Signature: __________________ Date: __________</w:t>
      </w:r>
    </w:p>
    <w:p w14:paraId="2E77B9D5"/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">
    <w:altName w:val="Courier New"/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AE3FF9"/>
    <w:rsid w:val="00B47730"/>
    <w:rsid w:val="00C250E5"/>
    <w:rsid w:val="00CB0664"/>
    <w:rsid w:val="00FC693F"/>
    <w:rsid w:val="43A13537"/>
    <w:rsid w:val="565505F1"/>
    <w:rsid w:val="64474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qFormat="1" w:unhideWhenUsed="0" w:uiPriority="71" w:semiHidden="0" w:name="Colorful Shading Accent 5"/>
    <w:lsdException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unhideWhenUsed="0" w:uiPriority="63" w:semiHidden="0" w:name="Medium Shading 1 Accent 6"/>
    <w:lsdException w:qFormat="1"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4"/>
    <w:unhideWhenUsed/>
    <w:qFormat/>
    <w:uiPriority w:val="99"/>
    <w:pPr>
      <w:spacing w:after="120"/>
    </w:pPr>
  </w:style>
  <w:style w:type="paragraph" w:styleId="14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15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23">
    <w:name w:val="List Bullet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24">
    <w:name w:val="List Bullet 2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25">
    <w:name w:val="List Bullet 3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26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7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28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29">
    <w:name w:val="List Number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30">
    <w:name w:val="List Number 2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31">
    <w:name w:val="List Number 3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3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character" w:styleId="33">
    <w:name w:val="Strong"/>
    <w:basedOn w:val="11"/>
    <w:qFormat/>
    <w:uiPriority w:val="22"/>
    <w:rPr>
      <w:b/>
      <w:bCs/>
    </w:rPr>
  </w:style>
  <w:style w:type="paragraph" w:styleId="34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5">
    <w:name w:val="Table Grid"/>
    <w:basedOn w:val="1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36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7">
    <w:name w:val="Light Shading"/>
    <w:basedOn w:val="1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1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1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1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1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1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1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1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1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1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1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1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1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1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1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1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1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1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1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1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1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1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1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1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1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1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1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1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1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1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1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1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1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1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1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11"/>
    <w:link w:val="19"/>
    <w:qFormat/>
    <w:uiPriority w:val="99"/>
  </w:style>
  <w:style w:type="character" w:customStyle="1" w:styleId="136">
    <w:name w:val="Footer Char"/>
    <w:basedOn w:val="11"/>
    <w:link w:val="18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1"/>
    <w:link w:val="36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1"/>
    <w:link w:val="3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1"/>
    <w:link w:val="13"/>
    <w:qFormat/>
    <w:uiPriority w:val="99"/>
  </w:style>
  <w:style w:type="character" w:customStyle="1" w:styleId="145">
    <w:name w:val="Body Text 2 Char"/>
    <w:basedOn w:val="11"/>
    <w:link w:val="14"/>
    <w:qFormat/>
    <w:uiPriority w:val="99"/>
  </w:style>
  <w:style w:type="character" w:customStyle="1" w:styleId="146">
    <w:name w:val="Body Text 3 Char"/>
    <w:basedOn w:val="11"/>
    <w:link w:val="15"/>
    <w:qFormat/>
    <w:uiPriority w:val="99"/>
    <w:rPr>
      <w:sz w:val="16"/>
      <w:szCs w:val="16"/>
    </w:rPr>
  </w:style>
  <w:style w:type="character" w:customStyle="1" w:styleId="147">
    <w:name w:val="Macro Text Char"/>
    <w:basedOn w:val="11"/>
    <w:link w:val="3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1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1"/>
    <w:link w:val="5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1"/>
    <w:link w:val="6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1"/>
    <w:link w:val="7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1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1"/>
    <w:link w:val="9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1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1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103</Words>
  <Characters>731</Characters>
  <Lines>6</Lines>
  <Paragraphs>1</Paragraphs>
  <TotalTime>42</TotalTime>
  <ScaleCrop>false</ScaleCrop>
  <LinksUpToDate>false</LinksUpToDate>
  <CharactersWithSpaces>815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Louie Perez</cp:lastModifiedBy>
  <dcterms:modified xsi:type="dcterms:W3CDTF">2026-08-19T09:10:56Z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eyJoZGlkIjoiN2U2NmIwYjYwNWU2YmZiMTNjZjRhZjc1NDViZjM3NTcifQ==</vt:lpwstr>
  </property>
  <property fmtid="{D5CDD505-2E9C-101B-9397-08002B2CF9AE}" pid="3" name="KSOProductBuildVer">
    <vt:lpwstr>1033-12.1.0.28032</vt:lpwstr>
  </property>
  <property fmtid="{D5CDD505-2E9C-101B-9397-08002B2CF9AE}" pid="4" name="ICV">
    <vt:lpwstr>126EA967E34445C7A29BC5EF082188C2_13</vt:lpwstr>
  </property>
</Properties>
</file>